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7083" w14:textId="77777777" w:rsidR="00AB3194" w:rsidRDefault="00000000">
      <w:pPr>
        <w:spacing w:after="120"/>
        <w:jc w:val="center"/>
      </w:pPr>
      <w:r>
        <w:rPr>
          <w:b/>
          <w:bCs/>
          <w:sz w:val="36"/>
          <w:szCs w:val="36"/>
        </w:rPr>
        <w:t>CHILD PROTECTION POLICY</w:t>
      </w:r>
    </w:p>
    <w:p w14:paraId="21293DB7" w14:textId="77777777" w:rsidR="00AB3194" w:rsidRDefault="00000000">
      <w:pPr>
        <w:spacing w:after="120"/>
        <w:jc w:val="center"/>
      </w:pPr>
      <w:r>
        <w:rPr>
          <w:b/>
          <w:bCs/>
          <w:sz w:val="28"/>
          <w:szCs w:val="28"/>
        </w:rPr>
        <w:t>Fundația Avram Huiban</w:t>
      </w:r>
    </w:p>
    <w:p w14:paraId="46314D27" w14:textId="77777777" w:rsidR="00AB3194" w:rsidRDefault="00000000">
      <w:pPr>
        <w:spacing w:after="240"/>
        <w:jc w:val="center"/>
      </w:pPr>
      <w:r>
        <w:rPr>
          <w:i/>
          <w:iCs/>
        </w:rPr>
        <w:t>In compliance with the Keeping Children Safe Child Safeguarding Standards</w:t>
      </w:r>
    </w:p>
    <w:p w14:paraId="6C69A96E" w14:textId="77777777" w:rsidR="00AB3194" w:rsidRDefault="00AB3194">
      <w:pPr>
        <w:pBdr>
          <w:bottom w:val="single" w:sz="6" w:space="1" w:color="808080"/>
        </w:pBdr>
        <w:spacing w:before="120" w:after="120"/>
      </w:pPr>
    </w:p>
    <w:p w14:paraId="2C95E01E" w14:textId="77777777" w:rsidR="00AB3194" w:rsidRDefault="00000000">
      <w:pPr>
        <w:pStyle w:val="Heading1"/>
      </w:pPr>
      <w:r>
        <w:t>DOMAIN 1 — POLICY AND PROCEDURES</w:t>
      </w:r>
    </w:p>
    <w:p w14:paraId="0CC39BD2" w14:textId="77777777" w:rsidR="00AB3194" w:rsidRDefault="00000000">
      <w:pPr>
        <w:pStyle w:val="Heading2"/>
      </w:pPr>
      <w:r>
        <w:t>1.1 Policy statement</w:t>
      </w:r>
    </w:p>
    <w:p w14:paraId="473D6E40" w14:textId="77777777" w:rsidR="00AB3194" w:rsidRDefault="00000000">
      <w:pPr>
        <w:spacing w:after="120" w:line="300" w:lineRule="auto"/>
        <w:jc w:val="both"/>
      </w:pPr>
      <w:r>
        <w:t>Fundația Avram Huiban is committed to ensuring the safety and wellbeing of all children — defined as persons under the age of 18 — who participate in or are affected by our activities. This Child Protection Policy (CPP) applies to all staff members, volunteers, interns, consultants and partner organisations working with or on behalf of Fundația Avram Huiban.</w:t>
      </w:r>
    </w:p>
    <w:p w14:paraId="1ABB787A" w14:textId="77777777" w:rsidR="00AB3194" w:rsidRDefault="00000000">
      <w:pPr>
        <w:spacing w:after="120" w:line="300" w:lineRule="auto"/>
        <w:jc w:val="both"/>
      </w:pPr>
      <w:r>
        <w:t>This policy is developed in accordance with the United Nations Convention on the Rights of the Child (UNCRC), the EU Charter of Fundamental Rights, the Keeping Children Safe Child Safeguarding Standards, and applicable national legislation in România — Legea 272/2004 privind protecția și promovarea drepturilor copilului.</w:t>
      </w:r>
    </w:p>
    <w:p w14:paraId="25099107" w14:textId="77777777" w:rsidR="00AB3194" w:rsidRDefault="00000000">
      <w:pPr>
        <w:pStyle w:val="Heading2"/>
      </w:pPr>
      <w:r>
        <w:t>1.2 Scope</w:t>
      </w:r>
    </w:p>
    <w:p w14:paraId="7B0D6F90" w14:textId="77777777" w:rsidR="00AB3194" w:rsidRDefault="00000000">
      <w:pPr>
        <w:spacing w:after="120" w:line="300" w:lineRule="auto"/>
        <w:jc w:val="both"/>
      </w:pPr>
      <w:r>
        <w:t>This policy applies to all activities organised or co-organised by Fundația Avram Huiban, including events, workshops, deliberative sessions, online activities and any other context in which staff or volunteers come into direct contact with persons under 18 years of age.</w:t>
      </w:r>
    </w:p>
    <w:p w14:paraId="4D7DE617" w14:textId="77777777" w:rsidR="00AB3194" w:rsidRDefault="00000000">
      <w:pPr>
        <w:pStyle w:val="Heading2"/>
      </w:pPr>
      <w:r>
        <w:t>1.3 Principles</w:t>
      </w:r>
    </w:p>
    <w:p w14:paraId="71F0E714" w14:textId="77777777" w:rsidR="00AB3194" w:rsidRDefault="00000000">
      <w:pPr>
        <w:spacing w:after="120" w:line="300" w:lineRule="auto"/>
        <w:jc w:val="both"/>
      </w:pPr>
      <w:r>
        <w:t>All children have equal rights to protection from harm regardless of gender, ethnicity, religion, disability or socioeconomic status. The best interests of the child are paramount in all decisions and actions. All staff and volunteers share responsibility for child protection. Children are treated with dignity and respect at all times.</w:t>
      </w:r>
    </w:p>
    <w:p w14:paraId="41DDEB98" w14:textId="77777777" w:rsidR="00AB3194" w:rsidRDefault="00000000">
      <w:pPr>
        <w:pStyle w:val="Heading2"/>
      </w:pPr>
      <w:r>
        <w:t>1.4 Procedures</w:t>
      </w:r>
    </w:p>
    <w:p w14:paraId="79A3ED53" w14:textId="77777777" w:rsidR="00AB3194" w:rsidRDefault="00000000">
      <w:pPr>
        <w:spacing w:after="120" w:line="300" w:lineRule="auto"/>
        <w:jc w:val="both"/>
      </w:pPr>
      <w:r>
        <w:t>Informed consent is obtained from parents or legal guardians before any child participates in an activity. Children may withdraw their participation at any time without explanation or consequence. All activities involving minors are conducted with a minimum of two trained adults present. No child is left alone with a single adult at any time. Physical contact with children is limited to what is necessary and appropriate, and is never initiated without the child’s consent. Online sessions involving minors use secure, monitored platforms; private messaging with minors is prohibited.</w:t>
      </w:r>
    </w:p>
    <w:p w14:paraId="20D47174" w14:textId="77777777" w:rsidR="00AB3194" w:rsidRDefault="00AB3194">
      <w:pPr>
        <w:pBdr>
          <w:bottom w:val="single" w:sz="6" w:space="1" w:color="808080"/>
        </w:pBdr>
        <w:spacing w:before="120" w:after="120"/>
      </w:pPr>
    </w:p>
    <w:p w14:paraId="111142FD" w14:textId="77777777" w:rsidR="00AB3194" w:rsidRDefault="00000000">
      <w:pPr>
        <w:pStyle w:val="Heading1"/>
      </w:pPr>
      <w:r>
        <w:t>DOMAIN 2 — HUMAN RESOURCES AND SAFE RECRUITMENT</w:t>
      </w:r>
    </w:p>
    <w:p w14:paraId="5E43A133" w14:textId="77777777" w:rsidR="00AB3194" w:rsidRDefault="00000000">
      <w:pPr>
        <w:pStyle w:val="Heading2"/>
      </w:pPr>
      <w:r>
        <w:lastRenderedPageBreak/>
        <w:t>2.1 Recruitment</w:t>
      </w:r>
    </w:p>
    <w:p w14:paraId="638C11B1" w14:textId="77777777" w:rsidR="00AB3194" w:rsidRDefault="00000000">
      <w:pPr>
        <w:spacing w:after="120" w:line="300" w:lineRule="auto"/>
        <w:jc w:val="both"/>
      </w:pPr>
      <w:r>
        <w:t>All staff members and volunteers who will have direct contact with children are subject to criminal background checks — equivalent to DBS clearance, in România obtained through cazier judiciar — before beginning their work. References are verified for all new staff and volunteers prior to engagement. All recruitment materials clearly state Fundația Avram Huiban’s commitment to child protection.</w:t>
      </w:r>
    </w:p>
    <w:p w14:paraId="0F8FB049" w14:textId="77777777" w:rsidR="00AB3194" w:rsidRDefault="00000000">
      <w:pPr>
        <w:pStyle w:val="Heading2"/>
      </w:pPr>
      <w:r>
        <w:t>2.2 Code of conduct</w:t>
      </w:r>
    </w:p>
    <w:p w14:paraId="166A9319" w14:textId="77777777" w:rsidR="00AB3194" w:rsidRDefault="00000000">
      <w:pPr>
        <w:spacing w:after="120" w:line="300" w:lineRule="auto"/>
        <w:jc w:val="both"/>
      </w:pPr>
      <w:r>
        <w:t>All staff, volunteers and consultants working with children are required to sign a Code of Conduct before beginning their work. The Code of Conduct prohibits any form of physical, verbal, emotional or sexual abuse; inappropriate relationships with minors; use of inappropriate language; unjustified physical contact; and sharing of children’s personal data or images without authorisation.</w:t>
      </w:r>
    </w:p>
    <w:p w14:paraId="1199F0DD" w14:textId="77777777" w:rsidR="00AB3194" w:rsidRDefault="00000000">
      <w:pPr>
        <w:pStyle w:val="Heading2"/>
      </w:pPr>
      <w:r>
        <w:t>2.3 Induction</w:t>
      </w:r>
    </w:p>
    <w:p w14:paraId="59BA0C66" w14:textId="77777777" w:rsidR="00AB3194" w:rsidRDefault="00000000">
      <w:pPr>
        <w:spacing w:after="120" w:line="300" w:lineRule="auto"/>
        <w:jc w:val="both"/>
      </w:pPr>
      <w:r>
        <w:t>All new staff and volunteers receive child protection induction training before working with children, covering this policy, reporting procedures, and the organisation’s code of conduct.</w:t>
      </w:r>
    </w:p>
    <w:p w14:paraId="517A9526" w14:textId="77777777" w:rsidR="00AB3194" w:rsidRDefault="00AB3194">
      <w:pPr>
        <w:pBdr>
          <w:bottom w:val="single" w:sz="6" w:space="1" w:color="808080"/>
        </w:pBdr>
        <w:spacing w:before="120" w:after="120"/>
      </w:pPr>
    </w:p>
    <w:p w14:paraId="66B8A274" w14:textId="77777777" w:rsidR="00AB3194" w:rsidRDefault="00000000">
      <w:pPr>
        <w:pStyle w:val="Heading1"/>
      </w:pPr>
      <w:r>
        <w:t>DOMAIN 3 — SAFE BEHAVIOURS AND REPORTING</w:t>
      </w:r>
    </w:p>
    <w:p w14:paraId="543D1933" w14:textId="77777777" w:rsidR="00AB3194" w:rsidRDefault="00000000">
      <w:pPr>
        <w:pStyle w:val="Heading2"/>
      </w:pPr>
      <w:r>
        <w:t>3.1 Safe behaviours</w:t>
      </w:r>
    </w:p>
    <w:p w14:paraId="46FCAA4B" w14:textId="77777777" w:rsidR="00AB3194" w:rsidRDefault="00000000">
      <w:pPr>
        <w:spacing w:after="120" w:line="300" w:lineRule="auto"/>
        <w:jc w:val="both"/>
      </w:pPr>
      <w:r>
        <w:t>Staff and volunteers are expected to maintain professional boundaries with all child participants at all times. Any behaviour that could be perceived as inappropriate — including excessive familiarity, private communication, or preferential treatment — is prohibited and must be reported immediately.</w:t>
      </w:r>
    </w:p>
    <w:p w14:paraId="661DE73F" w14:textId="77777777" w:rsidR="00AB3194" w:rsidRDefault="00000000">
      <w:pPr>
        <w:pStyle w:val="Heading2"/>
      </w:pPr>
      <w:r>
        <w:t>3.2 Reporting procedures</w:t>
      </w:r>
    </w:p>
    <w:p w14:paraId="243D3A39" w14:textId="77777777" w:rsidR="00AB3194" w:rsidRDefault="00000000">
      <w:pPr>
        <w:spacing w:after="120" w:line="300" w:lineRule="auto"/>
        <w:jc w:val="both"/>
      </w:pPr>
      <w:r>
        <w:t>Any staff member, volunteer or partner who witnesses, suspects or receives a disclosure of harm to a child must report it immediately to the designated Child Protection Lead — Iancu Ciprian Ștefan, Președinte — who is responsible for assessing the situation and taking appropriate action. Reports are treated confidentially and shared only with those who need to know in order to protect the child.</w:t>
      </w:r>
    </w:p>
    <w:p w14:paraId="5BEF6A7B" w14:textId="77777777" w:rsidR="00AB3194" w:rsidRDefault="00000000">
      <w:pPr>
        <w:spacing w:after="120" w:line="300" w:lineRule="auto"/>
        <w:jc w:val="both"/>
      </w:pPr>
      <w:r>
        <w:t>Where there is reasonable suspicion of abuse or neglect, the Child Protection Lead will report to the relevant national authorities — DGASPC și Poliția Română — within 24 hours. All reports and actions taken are documented in a secure register.</w:t>
      </w:r>
    </w:p>
    <w:p w14:paraId="0AD4DF5B" w14:textId="77777777" w:rsidR="00AB3194" w:rsidRDefault="00000000">
      <w:pPr>
        <w:pStyle w:val="Heading2"/>
      </w:pPr>
      <w:r>
        <w:t>3.3 Whistleblowing</w:t>
      </w:r>
    </w:p>
    <w:p w14:paraId="23896467" w14:textId="77777777" w:rsidR="00AB3194" w:rsidRDefault="00000000">
      <w:pPr>
        <w:spacing w:after="120" w:line="300" w:lineRule="auto"/>
        <w:jc w:val="both"/>
      </w:pPr>
      <w:r>
        <w:t>Staff and volunteers who report child protection concerns in good faith are protected from retaliation. Anonymous reporting mechanisms are available to all staff.</w:t>
      </w:r>
    </w:p>
    <w:p w14:paraId="68DD7BB0" w14:textId="77777777" w:rsidR="00AB3194" w:rsidRDefault="00000000">
      <w:pPr>
        <w:pStyle w:val="Heading2"/>
      </w:pPr>
      <w:r>
        <w:t>3.4 Photography and data</w:t>
      </w:r>
    </w:p>
    <w:p w14:paraId="13DEF897" w14:textId="77777777" w:rsidR="00AB3194" w:rsidRDefault="00000000">
      <w:pPr>
        <w:spacing w:after="120" w:line="300" w:lineRule="auto"/>
        <w:jc w:val="both"/>
      </w:pPr>
      <w:r>
        <w:lastRenderedPageBreak/>
        <w:t>Images or video recordings of children are only made with explicit written consent from the child and their parent or legal guardian. Images are used only for the stated purpose and are not shared publicly without renewal of consent. All personal data relating to children is processed in accordance with GDPR and is stored securely with restricted access.</w:t>
      </w:r>
    </w:p>
    <w:p w14:paraId="6BF370AD" w14:textId="77777777" w:rsidR="00AB3194" w:rsidRDefault="00AB3194">
      <w:pPr>
        <w:pBdr>
          <w:bottom w:val="single" w:sz="6" w:space="1" w:color="808080"/>
        </w:pBdr>
        <w:spacing w:before="120" w:after="120"/>
      </w:pPr>
    </w:p>
    <w:p w14:paraId="7536830C" w14:textId="77777777" w:rsidR="00AB3194" w:rsidRDefault="00000000">
      <w:pPr>
        <w:pStyle w:val="Heading1"/>
      </w:pPr>
      <w:r>
        <w:t>DOMAIN 4 — TRAINING AND MONITORING</w:t>
      </w:r>
    </w:p>
    <w:p w14:paraId="474E5A45" w14:textId="77777777" w:rsidR="00AB3194" w:rsidRDefault="00000000">
      <w:pPr>
        <w:pStyle w:val="Heading2"/>
      </w:pPr>
      <w:r>
        <w:t>4.1 Training</w:t>
      </w:r>
    </w:p>
    <w:p w14:paraId="23E9ED19" w14:textId="77777777" w:rsidR="00AB3194" w:rsidRDefault="00000000">
      <w:pPr>
        <w:spacing w:after="120" w:line="300" w:lineRule="auto"/>
        <w:jc w:val="both"/>
      </w:pPr>
      <w:r>
        <w:t>All staff and volunteers who work with children complete child protection training before beginning their work. Refresher training is provided annually. Training covers: recognition of signs of abuse and neglect; safe behaviour standards; reporting procedures; data protection in relation to child participants; and online safety.</w:t>
      </w:r>
    </w:p>
    <w:p w14:paraId="60399E5D" w14:textId="77777777" w:rsidR="00AB3194" w:rsidRDefault="00000000">
      <w:pPr>
        <w:pStyle w:val="Heading2"/>
      </w:pPr>
      <w:r>
        <w:t>4.2 Monitoring and review</w:t>
      </w:r>
    </w:p>
    <w:p w14:paraId="1D7D3E2A" w14:textId="77777777" w:rsidR="00AB3194" w:rsidRDefault="00000000">
      <w:pPr>
        <w:spacing w:after="120" w:line="300" w:lineRule="auto"/>
        <w:jc w:val="both"/>
      </w:pPr>
      <w:r>
        <w:t>This policy is reviewed annually by Fundația Avram Huiban’s leadership and updated as necessary to reflect changes in legislation, best practice or organisational context. Implementation of the policy is monitored through regular supervision of staff and volunteers, review of incident reports, and feedback from child participants and their families.</w:t>
      </w:r>
    </w:p>
    <w:p w14:paraId="68C685B5" w14:textId="77777777" w:rsidR="00AB3194" w:rsidRDefault="00000000">
      <w:pPr>
        <w:pStyle w:val="Heading2"/>
      </w:pPr>
      <w:r>
        <w:t>4.3 Accountability</w:t>
      </w:r>
    </w:p>
    <w:p w14:paraId="2304504A" w14:textId="77777777" w:rsidR="00AB3194" w:rsidRDefault="00000000">
      <w:pPr>
        <w:spacing w:after="120" w:line="300" w:lineRule="auto"/>
        <w:jc w:val="both"/>
      </w:pPr>
      <w:r>
        <w:t>The Child Protection Lead — Iancu Ciprian Ștefan, Președinte — is responsible for overseeing the implementation of this policy, maintaining the incident register, liaising with national authorities where necessary, and ensuring that all staff and volunteers comply with the policy and code of conduct.</w:t>
      </w:r>
    </w:p>
    <w:p w14:paraId="7788F10F" w14:textId="77777777" w:rsidR="00AB3194" w:rsidRDefault="00AB3194">
      <w:pPr>
        <w:pBdr>
          <w:bottom w:val="single" w:sz="6" w:space="1" w:color="808080"/>
        </w:pBdr>
        <w:spacing w:before="120" w:after="120"/>
      </w:pPr>
    </w:p>
    <w:p w14:paraId="5B94C5E8" w14:textId="77777777" w:rsidR="00AB3194" w:rsidRDefault="00000000">
      <w:pPr>
        <w:pStyle w:val="Heading1"/>
      </w:pPr>
      <w:r>
        <w:t>AVAILABILITY</w:t>
      </w:r>
    </w:p>
    <w:p w14:paraId="7579400D" w14:textId="77777777" w:rsidR="00AB3194" w:rsidRDefault="00000000">
      <w:pPr>
        <w:spacing w:after="120" w:line="300" w:lineRule="auto"/>
        <w:jc w:val="both"/>
      </w:pPr>
      <w:r>
        <w:t xml:space="preserve">This Child Protection Policy is publicly available on Fundația Avram Huiban’s website at </w:t>
      </w:r>
      <w:hyperlink r:id="rId7" w:history="1">
        <w:r>
          <w:rPr>
            <w:rStyle w:val="Hyperlink"/>
          </w:rPr>
          <w:t>https://www.fundatia-avramhuiban.com</w:t>
        </w:r>
      </w:hyperlink>
      <w:r>
        <w:t xml:space="preserve"> and is provided to all staff, volunteers and partners upon engagement.</w:t>
      </w:r>
    </w:p>
    <w:p w14:paraId="479B2CB5" w14:textId="77777777" w:rsidR="00AB3194" w:rsidRDefault="00AB3194">
      <w:pPr>
        <w:pBdr>
          <w:bottom w:val="single" w:sz="6" w:space="1" w:color="808080"/>
        </w:pBdr>
        <w:spacing w:before="120" w:after="120"/>
      </w:pPr>
    </w:p>
    <w:p w14:paraId="270EEA81" w14:textId="77777777" w:rsidR="00AB3194" w:rsidRDefault="00000000">
      <w:pPr>
        <w:pStyle w:val="Heading1"/>
      </w:pPr>
      <w:r>
        <w:t>SIGNATURE</w:t>
      </w:r>
    </w:p>
    <w:p w14:paraId="02472D09" w14:textId="77777777" w:rsidR="00AB3194" w:rsidRDefault="00000000">
      <w:pPr>
        <w:spacing w:after="120"/>
      </w:pPr>
      <w:r>
        <w:rPr>
          <w:b/>
          <w:bCs/>
        </w:rPr>
        <w:t xml:space="preserve">Name and function: </w:t>
      </w:r>
      <w:r>
        <w:t>Iancu Ciprian Ștefan, Președinte</w:t>
      </w:r>
    </w:p>
    <w:p w14:paraId="7F976165" w14:textId="77777777" w:rsidR="00AB3194" w:rsidRDefault="00000000">
      <w:pPr>
        <w:spacing w:after="120"/>
      </w:pPr>
      <w:r>
        <w:rPr>
          <w:b/>
          <w:bCs/>
        </w:rPr>
        <w:t xml:space="preserve">Date of signature: </w:t>
      </w:r>
      <w:r>
        <w:t>29.04.2026</w:t>
      </w:r>
    </w:p>
    <w:p w14:paraId="6D80698F" w14:textId="77777777" w:rsidR="00AB3194" w:rsidRDefault="00000000">
      <w:pPr>
        <w:spacing w:after="360"/>
      </w:pPr>
      <w:r>
        <w:rPr>
          <w:b/>
          <w:bCs/>
        </w:rPr>
        <w:t>Signature and stamp:</w:t>
      </w:r>
    </w:p>
    <w:p w14:paraId="725E8C1B" w14:textId="77777777" w:rsidR="00AB3194" w:rsidRDefault="00AB3194">
      <w:pPr>
        <w:pBdr>
          <w:bottom w:val="single" w:sz="6" w:space="1" w:color="000000"/>
        </w:pBdr>
        <w:spacing w:after="360"/>
      </w:pPr>
    </w:p>
    <w:p w14:paraId="3031DD13" w14:textId="77777777" w:rsidR="00AB3194" w:rsidRDefault="00AB3194">
      <w:pPr>
        <w:pBdr>
          <w:bottom w:val="single" w:sz="6" w:space="1" w:color="808080"/>
        </w:pBdr>
        <w:spacing w:before="120" w:after="120"/>
      </w:pPr>
    </w:p>
    <w:p w14:paraId="03FADFB9" w14:textId="77777777" w:rsidR="00AB3194" w:rsidRDefault="00000000">
      <w:pPr>
        <w:pStyle w:val="Heading1"/>
      </w:pPr>
      <w:r>
        <w:t>HISTORY OF CHANGES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2200"/>
        <w:gridCol w:w="5426"/>
      </w:tblGrid>
      <w:tr w:rsidR="00AB3194" w14:paraId="534AA2CF" w14:textId="77777777">
        <w:tblPrEx>
          <w:tblCellMar>
            <w:top w:w="0" w:type="dxa"/>
            <w:bottom w:w="0" w:type="dxa"/>
          </w:tblCellMar>
        </w:tblPrEx>
        <w:trPr>
          <w:tblHeader/>
        </w:trPr>
        <w:tc>
          <w:tcPr>
            <w:tcW w:w="1400" w:type="dxa"/>
            <w:tcBorders>
              <w:top w:val="single" w:sz="6" w:space="0" w:color="BFBFBF"/>
              <w:left w:val="single" w:sz="6" w:space="0" w:color="BFBFBF"/>
              <w:bottom w:val="single" w:sz="6" w:space="0" w:color="BFBFBF"/>
              <w:right w:val="single" w:sz="6" w:space="0" w:color="BFBFBF"/>
            </w:tcBorders>
            <w:shd w:val="clear" w:color="auto" w:fill="D9E2F3"/>
            <w:tcMar>
              <w:top w:w="100" w:type="dxa"/>
              <w:left w:w="140" w:type="dxa"/>
              <w:bottom w:w="100" w:type="dxa"/>
              <w:right w:w="140" w:type="dxa"/>
            </w:tcMar>
          </w:tcPr>
          <w:p w14:paraId="4A656A10" w14:textId="77777777" w:rsidR="00AB3194" w:rsidRDefault="00000000">
            <w:r>
              <w:rPr>
                <w:b/>
                <w:bCs/>
              </w:rPr>
              <w:t>Version</w:t>
            </w:r>
          </w:p>
        </w:tc>
        <w:tc>
          <w:tcPr>
            <w:tcW w:w="2200" w:type="dxa"/>
            <w:tcBorders>
              <w:top w:val="single" w:sz="6" w:space="0" w:color="BFBFBF"/>
              <w:left w:val="single" w:sz="6" w:space="0" w:color="BFBFBF"/>
              <w:bottom w:val="single" w:sz="6" w:space="0" w:color="BFBFBF"/>
              <w:right w:val="single" w:sz="6" w:space="0" w:color="BFBFBF"/>
            </w:tcBorders>
            <w:shd w:val="clear" w:color="auto" w:fill="D9E2F3"/>
            <w:tcMar>
              <w:top w:w="100" w:type="dxa"/>
              <w:left w:w="140" w:type="dxa"/>
              <w:bottom w:w="100" w:type="dxa"/>
              <w:right w:w="140" w:type="dxa"/>
            </w:tcMar>
          </w:tcPr>
          <w:p w14:paraId="2FA2C7F2" w14:textId="77777777" w:rsidR="00AB3194" w:rsidRDefault="00000000">
            <w:r>
              <w:rPr>
                <w:b/>
                <w:bCs/>
              </w:rPr>
              <w:t>Date</w:t>
            </w:r>
          </w:p>
        </w:tc>
        <w:tc>
          <w:tcPr>
            <w:tcW w:w="5426" w:type="dxa"/>
            <w:tcBorders>
              <w:top w:val="single" w:sz="6" w:space="0" w:color="BFBFBF"/>
              <w:left w:val="single" w:sz="6" w:space="0" w:color="BFBFBF"/>
              <w:bottom w:val="single" w:sz="6" w:space="0" w:color="BFBFBF"/>
              <w:right w:val="single" w:sz="6" w:space="0" w:color="BFBFBF"/>
            </w:tcBorders>
            <w:shd w:val="clear" w:color="auto" w:fill="D9E2F3"/>
            <w:tcMar>
              <w:top w:w="100" w:type="dxa"/>
              <w:left w:w="140" w:type="dxa"/>
              <w:bottom w:w="100" w:type="dxa"/>
              <w:right w:w="140" w:type="dxa"/>
            </w:tcMar>
          </w:tcPr>
          <w:p w14:paraId="12DD6A7B" w14:textId="77777777" w:rsidR="00AB3194" w:rsidRDefault="00000000">
            <w:r>
              <w:rPr>
                <w:b/>
                <w:bCs/>
              </w:rPr>
              <w:t>Change</w:t>
            </w:r>
          </w:p>
        </w:tc>
      </w:tr>
      <w:tr w:rsidR="00AB3194" w14:paraId="22A48E67" w14:textId="77777777">
        <w:tblPrEx>
          <w:tblCellMar>
            <w:top w:w="0" w:type="dxa"/>
            <w:bottom w:w="0" w:type="dxa"/>
          </w:tblCellMar>
        </w:tblPrEx>
        <w:tc>
          <w:tcPr>
            <w:tcW w:w="1400" w:type="dxa"/>
            <w:tcBorders>
              <w:top w:val="single" w:sz="6" w:space="0" w:color="BFBFBF"/>
              <w:left w:val="single" w:sz="6" w:space="0" w:color="BFBFBF"/>
              <w:bottom w:val="single" w:sz="6" w:space="0" w:color="BFBFBF"/>
              <w:right w:val="single" w:sz="6" w:space="0" w:color="BFBFBF"/>
            </w:tcBorders>
            <w:tcMar>
              <w:top w:w="100" w:type="dxa"/>
              <w:left w:w="140" w:type="dxa"/>
              <w:bottom w:w="100" w:type="dxa"/>
              <w:right w:w="140" w:type="dxa"/>
            </w:tcMar>
          </w:tcPr>
          <w:p w14:paraId="7154CCE4" w14:textId="77777777" w:rsidR="00AB3194" w:rsidRDefault="00000000">
            <w:r>
              <w:t>1.0</w:t>
            </w:r>
          </w:p>
        </w:tc>
        <w:tc>
          <w:tcPr>
            <w:tcW w:w="2200" w:type="dxa"/>
            <w:tcBorders>
              <w:top w:val="single" w:sz="6" w:space="0" w:color="BFBFBF"/>
              <w:left w:val="single" w:sz="6" w:space="0" w:color="BFBFBF"/>
              <w:bottom w:val="single" w:sz="6" w:space="0" w:color="BFBFBF"/>
              <w:right w:val="single" w:sz="6" w:space="0" w:color="BFBFBF"/>
            </w:tcBorders>
            <w:tcMar>
              <w:top w:w="100" w:type="dxa"/>
              <w:left w:w="140" w:type="dxa"/>
              <w:bottom w:w="100" w:type="dxa"/>
              <w:right w:w="140" w:type="dxa"/>
            </w:tcMar>
          </w:tcPr>
          <w:p w14:paraId="5D454408" w14:textId="77777777" w:rsidR="00AB3194" w:rsidRDefault="00000000">
            <w:r>
              <w:t>29.04.2026</w:t>
            </w:r>
          </w:p>
        </w:tc>
        <w:tc>
          <w:tcPr>
            <w:tcW w:w="5426" w:type="dxa"/>
            <w:tcBorders>
              <w:top w:val="single" w:sz="6" w:space="0" w:color="BFBFBF"/>
              <w:left w:val="single" w:sz="6" w:space="0" w:color="BFBFBF"/>
              <w:bottom w:val="single" w:sz="6" w:space="0" w:color="BFBFBF"/>
              <w:right w:val="single" w:sz="6" w:space="0" w:color="BFBFBF"/>
            </w:tcBorders>
            <w:tcMar>
              <w:top w:w="100" w:type="dxa"/>
              <w:left w:w="140" w:type="dxa"/>
              <w:bottom w:w="100" w:type="dxa"/>
              <w:right w:w="140" w:type="dxa"/>
            </w:tcMar>
          </w:tcPr>
          <w:p w14:paraId="454FD4D3" w14:textId="77777777" w:rsidR="00AB3194" w:rsidRDefault="00000000">
            <w:r>
              <w:t>Initial version</w:t>
            </w:r>
          </w:p>
        </w:tc>
      </w:tr>
    </w:tbl>
    <w:p w14:paraId="1DF7C08A" w14:textId="77777777" w:rsidR="0019406A" w:rsidRDefault="0019406A"/>
    <w:sectPr w:rsidR="0019406A">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5867" w14:textId="77777777" w:rsidR="0019406A" w:rsidRDefault="0019406A">
      <w:r>
        <w:separator/>
      </w:r>
    </w:p>
  </w:endnote>
  <w:endnote w:type="continuationSeparator" w:id="0">
    <w:p w14:paraId="61A66B7A" w14:textId="77777777" w:rsidR="0019406A" w:rsidRDefault="0019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5F46" w14:textId="77777777" w:rsidR="00AB3194" w:rsidRDefault="00000000">
    <w:pPr>
      <w:jc w:val="center"/>
    </w:pPr>
    <w:r>
      <w:rPr>
        <w:color w:val="595959"/>
        <w:sz w:val="18"/>
        <w:szCs w:val="18"/>
      </w:rPr>
      <w:t xml:space="preserve">Version 1.0 — 29.04.2026    |    Page </w:t>
    </w:r>
    <w:r>
      <w:rPr>
        <w:color w:val="595959"/>
        <w:sz w:val="18"/>
        <w:szCs w:val="18"/>
      </w:rPr>
      <w:fldChar w:fldCharType="begin"/>
    </w:r>
    <w:r>
      <w:rPr>
        <w:color w:val="595959"/>
        <w:sz w:val="18"/>
        <w:szCs w:val="18"/>
      </w:rPr>
      <w:instrText>PAGE</w:instrText>
    </w:r>
    <w:r>
      <w:rPr>
        <w:color w:val="595959"/>
        <w:sz w:val="18"/>
        <w:szCs w:val="18"/>
      </w:rPr>
      <w:fldChar w:fldCharType="separate"/>
    </w:r>
    <w:r w:rsidR="00907F71">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907F71">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C22E" w14:textId="77777777" w:rsidR="0019406A" w:rsidRDefault="0019406A">
      <w:r>
        <w:separator/>
      </w:r>
    </w:p>
  </w:footnote>
  <w:footnote w:type="continuationSeparator" w:id="0">
    <w:p w14:paraId="7F40A741" w14:textId="77777777" w:rsidR="0019406A" w:rsidRDefault="00194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F664" w14:textId="77777777" w:rsidR="00AB3194" w:rsidRDefault="00000000">
    <w:pPr>
      <w:jc w:val="right"/>
    </w:pPr>
    <w:r>
      <w:rPr>
        <w:i/>
        <w:iCs/>
        <w:color w:val="595959"/>
        <w:sz w:val="18"/>
        <w:szCs w:val="18"/>
      </w:rPr>
      <w:t>Fundația Avram Huiban — Child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291"/>
    <w:multiLevelType w:val="hybridMultilevel"/>
    <w:tmpl w:val="88941446"/>
    <w:lvl w:ilvl="0" w:tplc="212E236C">
      <w:start w:val="1"/>
      <w:numFmt w:val="bullet"/>
      <w:lvlText w:val="●"/>
      <w:lvlJc w:val="left"/>
      <w:pPr>
        <w:ind w:left="720" w:hanging="360"/>
      </w:pPr>
    </w:lvl>
    <w:lvl w:ilvl="1" w:tplc="51B4B60E">
      <w:start w:val="1"/>
      <w:numFmt w:val="bullet"/>
      <w:lvlText w:val="○"/>
      <w:lvlJc w:val="left"/>
      <w:pPr>
        <w:ind w:left="1440" w:hanging="360"/>
      </w:pPr>
    </w:lvl>
    <w:lvl w:ilvl="2" w:tplc="C48A99F6">
      <w:start w:val="1"/>
      <w:numFmt w:val="bullet"/>
      <w:lvlText w:val="■"/>
      <w:lvlJc w:val="left"/>
      <w:pPr>
        <w:ind w:left="2160" w:hanging="360"/>
      </w:pPr>
    </w:lvl>
    <w:lvl w:ilvl="3" w:tplc="18EEA66C">
      <w:start w:val="1"/>
      <w:numFmt w:val="bullet"/>
      <w:lvlText w:val="●"/>
      <w:lvlJc w:val="left"/>
      <w:pPr>
        <w:ind w:left="2880" w:hanging="360"/>
      </w:pPr>
    </w:lvl>
    <w:lvl w:ilvl="4" w:tplc="2460B8CE">
      <w:start w:val="1"/>
      <w:numFmt w:val="bullet"/>
      <w:lvlText w:val="○"/>
      <w:lvlJc w:val="left"/>
      <w:pPr>
        <w:ind w:left="3600" w:hanging="360"/>
      </w:pPr>
    </w:lvl>
    <w:lvl w:ilvl="5" w:tplc="638084EE">
      <w:start w:val="1"/>
      <w:numFmt w:val="bullet"/>
      <w:lvlText w:val="■"/>
      <w:lvlJc w:val="left"/>
      <w:pPr>
        <w:ind w:left="4320" w:hanging="360"/>
      </w:pPr>
    </w:lvl>
    <w:lvl w:ilvl="6" w:tplc="3C607918">
      <w:start w:val="1"/>
      <w:numFmt w:val="bullet"/>
      <w:lvlText w:val="●"/>
      <w:lvlJc w:val="left"/>
      <w:pPr>
        <w:ind w:left="5040" w:hanging="360"/>
      </w:pPr>
    </w:lvl>
    <w:lvl w:ilvl="7" w:tplc="247272CA">
      <w:start w:val="1"/>
      <w:numFmt w:val="bullet"/>
      <w:lvlText w:val="●"/>
      <w:lvlJc w:val="left"/>
      <w:pPr>
        <w:ind w:left="5760" w:hanging="360"/>
      </w:pPr>
    </w:lvl>
    <w:lvl w:ilvl="8" w:tplc="2DEAE936">
      <w:start w:val="1"/>
      <w:numFmt w:val="bullet"/>
      <w:lvlText w:val="●"/>
      <w:lvlJc w:val="left"/>
      <w:pPr>
        <w:ind w:left="6480" w:hanging="360"/>
      </w:pPr>
    </w:lvl>
  </w:abstractNum>
  <w:num w:numId="1" w16cid:durableId="1127237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94"/>
    <w:rsid w:val="0019406A"/>
    <w:rsid w:val="00907F71"/>
    <w:rsid w:val="00AB3194"/>
    <w:rsid w:val="00F87C2A"/>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23AB0904"/>
  <w15:docId w15:val="{56408806-363E-7546-96E0-F31C56ED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0"/>
      <w:szCs w:val="30"/>
    </w:rPr>
  </w:style>
  <w:style w:type="paragraph" w:styleId="Heading2">
    <w:name w:val="heading 2"/>
    <w:uiPriority w:val="9"/>
    <w:unhideWhenUsed/>
    <w:qFormat/>
    <w:pPr>
      <w:spacing w:before="240" w:after="140"/>
      <w:outlineLvl w:val="1"/>
    </w:pPr>
    <w:rPr>
      <w:b/>
      <w:bCs/>
      <w:color w:val="2E74B5"/>
      <w:sz w:val="26"/>
      <w:szCs w:val="26"/>
    </w:rPr>
  </w:style>
  <w:style w:type="paragraph" w:styleId="Heading3">
    <w:name w:val="heading 3"/>
    <w:uiPriority w:val="9"/>
    <w:semiHidden/>
    <w:unhideWhenUsed/>
    <w:qFormat/>
    <w:pPr>
      <w:spacing w:before="180" w:after="100"/>
      <w:outlineLvl w:val="2"/>
    </w:pPr>
    <w:rPr>
      <w:b/>
      <w:bCs/>
      <w:color w:val="1F3864"/>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undatia-avramhuib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5320</Characters>
  <Application>Microsoft Office Word</Application>
  <DocSecurity>0</DocSecurity>
  <Lines>104</Lines>
  <Paragraphs>50</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creator>Fundația Avram Huiban</dc:creator>
  <dc:description>Child Protection Policy of Fundația Avram Huiban</dc:description>
  <cp:lastModifiedBy>Teodor Vijiianu</cp:lastModifiedBy>
  <cp:revision>2</cp:revision>
  <dcterms:created xsi:type="dcterms:W3CDTF">2026-04-28T14:57:00Z</dcterms:created>
  <dcterms:modified xsi:type="dcterms:W3CDTF">2026-04-28T14:57:00Z</dcterms:modified>
</cp:coreProperties>
</file>